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3A" w:rsidRDefault="00F0563A" w:rsidP="00FB1851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FB1851">
        <w:rPr>
          <w:rFonts w:ascii="Calibri" w:eastAsia="Calibri" w:hAnsi="Calibri" w:cs="Times New Roman"/>
          <w:noProof/>
          <w:sz w:val="22"/>
          <w:szCs w:val="22"/>
          <w:lang w:eastAsia="en-GB"/>
        </w:rPr>
        <w:drawing>
          <wp:inline distT="0" distB="0" distL="0" distR="0" wp14:anchorId="61889E37" wp14:editId="512A9293">
            <wp:extent cx="2668270" cy="71501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1851">
        <w:rPr>
          <w:rFonts w:eastAsia="Calibri"/>
          <w:b/>
          <w:sz w:val="28"/>
          <w:szCs w:val="28"/>
          <w:lang w:eastAsia="en-US"/>
        </w:rPr>
        <w:tab/>
      </w:r>
      <w:r w:rsidR="00FB1851">
        <w:rPr>
          <w:rFonts w:eastAsia="Calibri"/>
          <w:b/>
          <w:sz w:val="28"/>
          <w:szCs w:val="28"/>
          <w:lang w:eastAsia="en-US"/>
        </w:rPr>
        <w:tab/>
      </w:r>
      <w:r w:rsidR="00FB1851">
        <w:rPr>
          <w:rFonts w:eastAsia="Calibri"/>
          <w:b/>
          <w:sz w:val="28"/>
          <w:szCs w:val="28"/>
          <w:lang w:eastAsia="en-US"/>
        </w:rPr>
        <w:tab/>
      </w:r>
      <w:r w:rsidR="00FB1851">
        <w:rPr>
          <w:rFonts w:eastAsia="Calibri"/>
          <w:b/>
          <w:sz w:val="28"/>
          <w:szCs w:val="28"/>
          <w:lang w:eastAsia="en-US"/>
        </w:rPr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4395"/>
        <w:gridCol w:w="4819"/>
        <w:gridCol w:w="5812"/>
      </w:tblGrid>
      <w:tr w:rsidR="004855B4" w:rsidRPr="00FB1851" w:rsidTr="004855B4">
        <w:trPr>
          <w:trHeight w:val="511"/>
        </w:trPr>
        <w:tc>
          <w:tcPr>
            <w:tcW w:w="6520" w:type="dxa"/>
          </w:tcPr>
          <w:p w:rsidR="004855B4" w:rsidRPr="00480661" w:rsidRDefault="004855B4" w:rsidP="00480661">
            <w:pPr>
              <w:spacing w:after="24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Name of School:</w:t>
            </w:r>
          </w:p>
          <w:p w:rsidR="004855B4" w:rsidRDefault="004855B4" w:rsidP="009F45F9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4855B4" w:rsidRPr="00FB1851" w:rsidRDefault="004855B4" w:rsidP="002A4A7F">
            <w:pPr>
              <w:spacing w:after="240" w:line="240" w:lineRule="auto"/>
              <w:ind w:left="-2518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</w:tcPr>
          <w:p w:rsidR="004855B4" w:rsidRPr="00FB1851" w:rsidRDefault="004855B4" w:rsidP="009F45F9">
            <w:pPr>
              <w:spacing w:after="240" w:line="240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OFSTED GRADE</w:t>
            </w:r>
          </w:p>
        </w:tc>
        <w:tc>
          <w:tcPr>
            <w:tcW w:w="4819" w:type="dxa"/>
          </w:tcPr>
          <w:p w:rsidR="004855B4" w:rsidRPr="00514838" w:rsidRDefault="004855B4" w:rsidP="009F45F9">
            <w:pPr>
              <w:spacing w:after="240" w:line="240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514838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NAME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:</w:t>
            </w:r>
          </w:p>
          <w:p w:rsidR="004855B4" w:rsidRDefault="004855B4" w:rsidP="009F45F9">
            <w:pPr>
              <w:spacing w:after="240" w:line="240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514838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POSITION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: </w:t>
            </w:r>
          </w:p>
          <w:p w:rsidR="004855B4" w:rsidRPr="00514838" w:rsidRDefault="004855B4" w:rsidP="004855B4">
            <w:pPr>
              <w:spacing w:after="240" w:line="240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(</w:t>
            </w:r>
            <w:r w:rsidRPr="00514838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LITEC: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             )     </w:t>
            </w:r>
          </w:p>
        </w:tc>
        <w:tc>
          <w:tcPr>
            <w:tcW w:w="5812" w:type="dxa"/>
          </w:tcPr>
          <w:p w:rsidR="004855B4" w:rsidRPr="004855B4" w:rsidRDefault="004855B4" w:rsidP="004855B4">
            <w:pPr>
              <w:spacing w:after="240" w:line="240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School's Overall Designation:</w:t>
            </w:r>
          </w:p>
        </w:tc>
      </w:tr>
      <w:tr w:rsidR="004855B4" w:rsidRPr="00FB1851" w:rsidTr="004855B4">
        <w:trPr>
          <w:trHeight w:val="247"/>
        </w:trPr>
        <w:tc>
          <w:tcPr>
            <w:tcW w:w="6520" w:type="dxa"/>
          </w:tcPr>
          <w:p w:rsidR="004855B4" w:rsidRPr="00FB1851" w:rsidRDefault="004855B4" w:rsidP="009F45F9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</w:tcPr>
          <w:p w:rsidR="004855B4" w:rsidRPr="00FB1851" w:rsidRDefault="004855B4" w:rsidP="009F45F9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4819" w:type="dxa"/>
          </w:tcPr>
          <w:p w:rsidR="004855B4" w:rsidRPr="00FB1851" w:rsidRDefault="004855B4" w:rsidP="009F45F9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812" w:type="dxa"/>
          </w:tcPr>
          <w:p w:rsidR="004855B4" w:rsidRPr="00FB1851" w:rsidRDefault="004855B4" w:rsidP="009F45F9">
            <w:pPr>
              <w:spacing w:after="24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:rsidR="00987E7F" w:rsidRPr="00FB1851" w:rsidRDefault="00987E7F" w:rsidP="00987E7F">
      <w:pPr>
        <w:spacing w:after="0" w:line="240" w:lineRule="auto"/>
        <w:jc w:val="center"/>
        <w:rPr>
          <w:rFonts w:eastAsia="Times New Roman"/>
          <w:b/>
          <w:sz w:val="4"/>
          <w:szCs w:val="4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520"/>
        <w:gridCol w:w="6662"/>
        <w:gridCol w:w="7372"/>
      </w:tblGrid>
      <w:tr w:rsidR="00BF60D5" w:rsidRPr="00FB1851" w:rsidTr="00386AF6">
        <w:trPr>
          <w:cantSplit/>
          <w:trHeight w:val="1134"/>
        </w:trPr>
        <w:tc>
          <w:tcPr>
            <w:tcW w:w="992" w:type="dxa"/>
            <w:shd w:val="clear" w:color="auto" w:fill="BFBFBF"/>
            <w:vAlign w:val="center"/>
          </w:tcPr>
          <w:p w:rsidR="00BF60D5" w:rsidRPr="00FB1851" w:rsidRDefault="00BF60D5" w:rsidP="00386AF6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FB1851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Activity</w:t>
            </w:r>
          </w:p>
        </w:tc>
        <w:tc>
          <w:tcPr>
            <w:tcW w:w="6520" w:type="dxa"/>
            <w:shd w:val="clear" w:color="auto" w:fill="BFBFBF"/>
            <w:vAlign w:val="center"/>
          </w:tcPr>
          <w:p w:rsidR="00BF60D5" w:rsidRPr="00FB1851" w:rsidRDefault="00775500" w:rsidP="009F45F9">
            <w:pPr>
              <w:spacing w:after="24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en-GB"/>
              </w:rPr>
              <w:t>Essential</w:t>
            </w:r>
          </w:p>
          <w:p w:rsidR="00BF60D5" w:rsidRPr="00FB1851" w:rsidRDefault="00BF60D5" w:rsidP="009F45F9">
            <w:pPr>
              <w:spacing w:after="24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</w:p>
        </w:tc>
        <w:tc>
          <w:tcPr>
            <w:tcW w:w="6662" w:type="dxa"/>
            <w:shd w:val="clear" w:color="auto" w:fill="BFBFBF"/>
            <w:vAlign w:val="center"/>
          </w:tcPr>
          <w:p w:rsidR="00BF60D5" w:rsidRPr="00FB1851" w:rsidRDefault="00775500" w:rsidP="009F45F9">
            <w:pPr>
              <w:spacing w:after="24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en-GB"/>
              </w:rPr>
              <w:t>Good</w:t>
            </w:r>
          </w:p>
          <w:p w:rsidR="00BF60D5" w:rsidRPr="00FB1851" w:rsidRDefault="00BF60D5" w:rsidP="009F45F9">
            <w:pPr>
              <w:spacing w:after="24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</w:p>
        </w:tc>
        <w:tc>
          <w:tcPr>
            <w:tcW w:w="7372" w:type="dxa"/>
            <w:shd w:val="clear" w:color="auto" w:fill="BFBFBF"/>
            <w:vAlign w:val="center"/>
          </w:tcPr>
          <w:p w:rsidR="00BF60D5" w:rsidRPr="00FB1851" w:rsidRDefault="00BF60D5" w:rsidP="009F45F9">
            <w:pPr>
              <w:spacing w:after="24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FB185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en-GB"/>
              </w:rPr>
              <w:t>Best Practice</w:t>
            </w:r>
          </w:p>
          <w:p w:rsidR="00BF60D5" w:rsidRPr="00FB1851" w:rsidRDefault="00BF60D5" w:rsidP="009F45F9">
            <w:pPr>
              <w:spacing w:after="24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</w:p>
        </w:tc>
      </w:tr>
      <w:tr w:rsidR="00BF60D5" w:rsidRPr="00FB1851" w:rsidTr="00CF75D5">
        <w:trPr>
          <w:cantSplit/>
          <w:trHeight w:val="1134"/>
        </w:trPr>
        <w:tc>
          <w:tcPr>
            <w:tcW w:w="992" w:type="dxa"/>
            <w:shd w:val="clear" w:color="auto" w:fill="DDD9C3" w:themeFill="background2" w:themeFillShade="E6"/>
            <w:textDirection w:val="btLr"/>
          </w:tcPr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Induction</w:t>
            </w:r>
          </w:p>
        </w:tc>
        <w:tc>
          <w:tcPr>
            <w:tcW w:w="6520" w:type="dxa"/>
            <w:shd w:val="clear" w:color="auto" w:fill="FFFFFF" w:themeFill="background1"/>
          </w:tcPr>
          <w:p w:rsidR="00BF60D5" w:rsidRPr="00FB1851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have fullest possible access to resources, keys, name badges, ICT etc as appropriate</w:t>
            </w:r>
          </w:p>
          <w:p w:rsidR="00BF60D5" w:rsidRPr="00FB1851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made aware of safeguarding, prevent, behaviour, British values policies and procedures</w:t>
            </w:r>
          </w:p>
          <w:p w:rsidR="00BF60D5" w:rsidRPr="00FB1851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undergo an organised induction programme</w:t>
            </w:r>
          </w:p>
          <w:p w:rsidR="00BF60D5" w:rsidRPr="00FB1851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formally introduced to key personnel on the staff e.g. SENCO, teaching assistants etc.</w:t>
            </w:r>
          </w:p>
          <w:p w:rsidR="00BF60D5" w:rsidRPr="00FB1851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have access to all appropriate policies and planning documents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School information is freely available to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who are made fully aware of the issues of professional confidentiality</w:t>
            </w:r>
          </w:p>
          <w:p w:rsidR="00BF60D5" w:rsidRPr="00FB1851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introduced to staff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, pupils and parents as appropriate</w:t>
            </w:r>
          </w:p>
        </w:tc>
        <w:tc>
          <w:tcPr>
            <w:tcW w:w="6662" w:type="dxa"/>
            <w:shd w:val="clear" w:color="auto" w:fill="FFFFFF" w:themeFill="background1"/>
          </w:tcPr>
          <w:p w:rsidR="00BF60D5" w:rsidRPr="00FB1851" w:rsidRDefault="00BF60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Opportunities to observe and practice teaching with a pre-arranged focus.</w:t>
            </w:r>
          </w:p>
          <w:p w:rsidR="00BF60D5" w:rsidRPr="00FB1851" w:rsidRDefault="00BF60D5" w:rsidP="00C671BA">
            <w:pPr>
              <w:pStyle w:val="ListParagraph"/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:rsidR="00BF60D5" w:rsidRPr="00FB1851" w:rsidRDefault="00BF60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Induction process is of high quality and includes opportunities to observe/work with the wider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 xml:space="preserve">staff 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in a range of key stages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where appropriate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An induction pack is provided and discussed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There is evidence of discussions about a personalised programme reflecting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’ strengths,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and areas for development,</w:t>
            </w:r>
          </w:p>
          <w:p w:rsidR="00BF60D5" w:rsidRPr="00FB1851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provided with a timetable for the start of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practice 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>showing responsibility for observing, teaching small groups and whole class etc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in accordance with course programme.</w:t>
            </w:r>
          </w:p>
        </w:tc>
      </w:tr>
      <w:tr w:rsidR="00CF75D5" w:rsidRPr="00FB1851" w:rsidTr="00EA18B5">
        <w:trPr>
          <w:cantSplit/>
          <w:trHeight w:val="2569"/>
        </w:trPr>
        <w:tc>
          <w:tcPr>
            <w:tcW w:w="992" w:type="dxa"/>
            <w:shd w:val="clear" w:color="auto" w:fill="DDD9C3" w:themeFill="background2" w:themeFillShade="E6"/>
            <w:textDirection w:val="btLr"/>
          </w:tcPr>
          <w:p w:rsidR="00CF75D5" w:rsidRPr="00FB1851" w:rsidRDefault="00CF75D5" w:rsidP="00CF75D5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FB1851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ISchool</w:t>
            </w:r>
            <w:proofErr w:type="spellEnd"/>
            <w:r w:rsidRPr="00FB1851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 xml:space="preserve"> based training</w:t>
            </w: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 xml:space="preserve"> and support</w:t>
            </w:r>
          </w:p>
        </w:tc>
        <w:tc>
          <w:tcPr>
            <w:tcW w:w="6520" w:type="dxa"/>
            <w:shd w:val="clear" w:color="auto" w:fill="FFFFFF" w:themeFill="background1"/>
          </w:tcPr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have a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timetable in accordance with course guidance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 involved in joint planning and marking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Opportunities for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to observe outstanding teaching are provided.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receive regular formative feedback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There is a training programme in place which is relevant to the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' ongoing development. </w:t>
            </w:r>
          </w:p>
          <w:p w:rsidR="00CF75D5" w:rsidRPr="00FB1851" w:rsidRDefault="00CF75D5" w:rsidP="00C671BA">
            <w:pPr>
              <w:pStyle w:val="ListParagraph"/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' needs are taken into account and appropriate planning and teaching support given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involved in team teaching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take on responsibility for independent planning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undertake school based training on effective marking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Opportunities for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to observe and discuss learning with outstanding teachers organised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receive regular written formative feedback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There is a weekly training programme in place which takes account and is tailored to of the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' emerging needs.</w:t>
            </w:r>
          </w:p>
        </w:tc>
        <w:tc>
          <w:tcPr>
            <w:tcW w:w="7372" w:type="dxa"/>
            <w:shd w:val="clear" w:color="auto" w:fill="FFFFFF" w:themeFill="background1"/>
          </w:tcPr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Prior to data entry or pupil progress meetings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have  specific school based training on assessment and data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(where appropriate)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Opportunities for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to observe outstanding teaching alongside and discussed with a Mentor are provided.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Regular schedule of formative lesson observations is shared with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.  Most of these have written feedback</w:t>
            </w:r>
          </w:p>
          <w:p w:rsidR="00CF75D5" w:rsidRPr="00FB1851" w:rsidRDefault="00CF75D5" w:rsidP="005148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There is a training programme in place which is flexible and is tailored to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' needs school are willing to share this with other partner schools and also were appropriate hold joint training with other schools</w:t>
            </w:r>
          </w:p>
        </w:tc>
      </w:tr>
      <w:tr w:rsidR="00C671BA" w:rsidRPr="00FB1851" w:rsidTr="00CF75D5">
        <w:trPr>
          <w:cantSplit/>
          <w:trHeight w:val="1134"/>
        </w:trPr>
        <w:tc>
          <w:tcPr>
            <w:tcW w:w="992" w:type="dxa"/>
            <w:shd w:val="clear" w:color="auto" w:fill="DDD9C3" w:themeFill="background2" w:themeFillShade="E6"/>
            <w:textDirection w:val="btLr"/>
          </w:tcPr>
          <w:p w:rsidR="00C671BA" w:rsidRPr="00FB1851" w:rsidRDefault="00480661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Observation and Feedback</w:t>
            </w:r>
          </w:p>
        </w:tc>
        <w:tc>
          <w:tcPr>
            <w:tcW w:w="6520" w:type="dxa"/>
            <w:shd w:val="clear" w:color="auto" w:fill="FFFFFF" w:themeFill="background1"/>
          </w:tcPr>
          <w:p w:rsidR="00C671BA" w:rsidRPr="00FB1851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All feedback and reports reflect areas of strengths and achievements, along with areas for development, against Teachers’ Standards</w:t>
            </w:r>
          </w:p>
          <w:p w:rsidR="00C671BA" w:rsidRPr="00FB1851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Evidence from lesson/session observations and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PDP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include explicit action points for improvement, including subject knowledge development </w:t>
            </w:r>
          </w:p>
          <w:p w:rsidR="00514838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 profile demonstrates a close relationship to the grade descriptors</w:t>
            </w:r>
          </w:p>
          <w:p w:rsidR="00C671BA" w:rsidRPr="00514838" w:rsidRDefault="00C671BA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514838">
              <w:rPr>
                <w:rFonts w:eastAsia="Times New Roman"/>
                <w:sz w:val="18"/>
                <w:szCs w:val="18"/>
                <w:lang w:eastAsia="en-GB"/>
              </w:rPr>
              <w:t xml:space="preserve">Judgements and grades are consistent with advice and </w:t>
            </w:r>
            <w:r w:rsidR="00CF75D5" w:rsidRPr="00514838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514838">
              <w:rPr>
                <w:rFonts w:eastAsia="Times New Roman"/>
                <w:sz w:val="18"/>
                <w:szCs w:val="18"/>
                <w:lang w:eastAsia="en-GB"/>
              </w:rPr>
              <w:t xml:space="preserve"> recorded throughout the placement, and have been discussed with the </w:t>
            </w:r>
            <w:r w:rsidR="00892F97" w:rsidRPr="00514838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</w:p>
          <w:p w:rsidR="00480661" w:rsidRPr="00FB1851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Before the lesson the focus of observation is discussed and agreed with the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</w:p>
          <w:p w:rsidR="00480661" w:rsidRPr="00FB1851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Feedback given to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at an appropriate time after the lesson </w:t>
            </w:r>
            <w:r w:rsidR="008F2157">
              <w:rPr>
                <w:rFonts w:eastAsia="Times New Roman"/>
                <w:sz w:val="18"/>
                <w:szCs w:val="18"/>
                <w:lang w:eastAsia="en-GB"/>
              </w:rPr>
              <w:t xml:space="preserve"> There should be 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a balance of good points and areas to improve</w:t>
            </w:r>
          </w:p>
          <w:p w:rsidR="00480661" w:rsidRPr="00FB1851" w:rsidRDefault="00892F97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="00480661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receives  evidence of teacher feedback </w:t>
            </w:r>
          </w:p>
          <w:p w:rsidR="00480661" w:rsidRPr="00FB1851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Regular formal lesson observations take place include a focus on </w:t>
            </w:r>
            <w:proofErr w:type="spellStart"/>
            <w:r w:rsidRPr="00FB1851">
              <w:rPr>
                <w:rFonts w:eastAsia="Times New Roman"/>
                <w:sz w:val="18"/>
                <w:szCs w:val="18"/>
                <w:lang w:eastAsia="en-GB"/>
              </w:rPr>
              <w:t>Eng</w:t>
            </w:r>
            <w:proofErr w:type="spellEnd"/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, Maths, and Phonics </w:t>
            </w:r>
          </w:p>
          <w:p w:rsidR="00514838" w:rsidRDefault="008F2157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="00480661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SMART  and subject specific</w:t>
            </w:r>
          </w:p>
          <w:p w:rsidR="00480661" w:rsidRPr="00514838" w:rsidRDefault="008F2157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514838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="00480661" w:rsidRPr="00514838">
              <w:rPr>
                <w:rFonts w:eastAsia="Times New Roman"/>
                <w:sz w:val="18"/>
                <w:szCs w:val="18"/>
                <w:lang w:eastAsia="en-GB"/>
              </w:rPr>
              <w:t xml:space="preserve"> include reference to the impact of the </w:t>
            </w:r>
            <w:r w:rsidR="00892F97" w:rsidRPr="00514838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="00480661" w:rsidRPr="00514838">
              <w:rPr>
                <w:rFonts w:eastAsia="Times New Roman"/>
                <w:sz w:val="18"/>
                <w:szCs w:val="18"/>
                <w:lang w:eastAsia="en-GB"/>
              </w:rPr>
              <w:t xml:space="preserve"> on  pupils' learning</w:t>
            </w:r>
          </w:p>
        </w:tc>
        <w:tc>
          <w:tcPr>
            <w:tcW w:w="6662" w:type="dxa"/>
            <w:shd w:val="clear" w:color="auto" w:fill="FFFFFF" w:themeFill="background1"/>
          </w:tcPr>
          <w:p w:rsidR="00480661" w:rsidRPr="00FB1851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Evidence of regular formal and informal feedback and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by all relevant teachers is kept by mentor and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</w:p>
          <w:p w:rsidR="00480661" w:rsidRPr="00FB1851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Some observations are carried out by members of staff with specific experience e.g. Subject Coordinators</w:t>
            </w:r>
          </w:p>
          <w:p w:rsidR="00480661" w:rsidRPr="00FB1851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Having set subject specific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the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will have opportunity to access support from teachers with strengths in teaching that subject.</w:t>
            </w:r>
          </w:p>
          <w:p w:rsidR="00C671BA" w:rsidRPr="00FB1851" w:rsidRDefault="00480661" w:rsidP="005148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Written feedback notes will include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that relate specifically to the next level in the grade descriptors so enabling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to improve their teaching measured against the Teachers’ Standards</w:t>
            </w:r>
          </w:p>
        </w:tc>
        <w:tc>
          <w:tcPr>
            <w:tcW w:w="7372" w:type="dxa"/>
            <w:shd w:val="clear" w:color="auto" w:fill="FFFFFF" w:themeFill="background1"/>
          </w:tcPr>
          <w:p w:rsidR="00480661" w:rsidRPr="00FB1851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 </w:t>
            </w:r>
            <w:proofErr w:type="gramStart"/>
            <w:r w:rsidRPr="00FB1851">
              <w:rPr>
                <w:rFonts w:eastAsia="Times New Roman"/>
                <w:sz w:val="18"/>
                <w:szCs w:val="18"/>
                <w:lang w:eastAsia="en-GB"/>
              </w:rPr>
              <w:t>mentor  is</w:t>
            </w:r>
            <w:proofErr w:type="gramEnd"/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able to give advice on how to achieve set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e.g. strategies for </w:t>
            </w:r>
            <w:proofErr w:type="spellStart"/>
            <w:r w:rsidRPr="00FB1851">
              <w:rPr>
                <w:rFonts w:eastAsia="Times New Roman"/>
                <w:sz w:val="18"/>
                <w:szCs w:val="18"/>
                <w:lang w:eastAsia="en-GB"/>
              </w:rPr>
              <w:t>AfL</w:t>
            </w:r>
            <w:proofErr w:type="spellEnd"/>
            <w:r w:rsidRPr="00FB1851">
              <w:rPr>
                <w:rFonts w:eastAsia="Times New Roman"/>
                <w:sz w:val="18"/>
                <w:szCs w:val="18"/>
                <w:lang w:eastAsia="en-GB"/>
              </w:rPr>
              <w:t>, differentiation, class management, questioning techniques subject pedagogy etc</w:t>
            </w:r>
            <w:r w:rsidR="00A26DCB">
              <w:rPr>
                <w:rFonts w:eastAsia="Times New Roman"/>
                <w:sz w:val="18"/>
                <w:szCs w:val="18"/>
                <w:lang w:eastAsia="en-GB"/>
              </w:rPr>
              <w:t>.</w:t>
            </w:r>
          </w:p>
          <w:p w:rsidR="00480661" w:rsidRPr="00FB1851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Mentor encourages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to critically reflect using their own evaluation of the lesson</w:t>
            </w:r>
          </w:p>
          <w:p w:rsidR="00514838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There is clear evidence that challenging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and guidance that is personalised for the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is enabling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to improve their teaching and pupils’ learning</w:t>
            </w:r>
          </w:p>
          <w:p w:rsidR="00C671BA" w:rsidRPr="00514838" w:rsidRDefault="00480661" w:rsidP="0051483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514838">
              <w:rPr>
                <w:rFonts w:eastAsia="Times New Roman"/>
                <w:sz w:val="18"/>
                <w:szCs w:val="18"/>
                <w:lang w:eastAsia="en-GB"/>
              </w:rPr>
              <w:t xml:space="preserve">Learning from observations made by the </w:t>
            </w:r>
            <w:r w:rsidR="00892F97" w:rsidRPr="00514838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514838">
              <w:rPr>
                <w:rFonts w:eastAsia="Times New Roman"/>
                <w:sz w:val="18"/>
                <w:szCs w:val="18"/>
                <w:lang w:eastAsia="en-GB"/>
              </w:rPr>
              <w:t xml:space="preserve"> in subjects/year groups other than the </w:t>
            </w:r>
            <w:r w:rsidR="00892F97" w:rsidRPr="00514838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514838">
              <w:rPr>
                <w:rFonts w:eastAsia="Times New Roman"/>
                <w:sz w:val="18"/>
                <w:szCs w:val="18"/>
                <w:lang w:eastAsia="en-GB"/>
              </w:rPr>
              <w:t xml:space="preserve">’s own is clearly recorded by the </w:t>
            </w:r>
            <w:r w:rsidR="00892F97" w:rsidRPr="00514838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514838">
              <w:rPr>
                <w:rFonts w:eastAsia="Times New Roman"/>
                <w:sz w:val="18"/>
                <w:szCs w:val="18"/>
                <w:lang w:eastAsia="en-GB"/>
              </w:rPr>
              <w:t xml:space="preserve"> and discussed with the mentor</w:t>
            </w:r>
          </w:p>
        </w:tc>
      </w:tr>
      <w:tr w:rsidR="00BF60D5" w:rsidRPr="00FB1851" w:rsidTr="00CF75D5">
        <w:trPr>
          <w:cantSplit/>
          <w:trHeight w:val="1695"/>
        </w:trPr>
        <w:tc>
          <w:tcPr>
            <w:tcW w:w="992" w:type="dxa"/>
            <w:shd w:val="clear" w:color="auto" w:fill="DDD9C3" w:themeFill="background2" w:themeFillShade="E6"/>
            <w:textDirection w:val="btLr"/>
          </w:tcPr>
          <w:p w:rsidR="00BF60D5" w:rsidRPr="00FB1851" w:rsidRDefault="00BB60DA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FB1851">
              <w:lastRenderedPageBreak/>
              <w:br w:type="page"/>
            </w:r>
            <w:r w:rsidR="00BF60D5" w:rsidRPr="00FB1851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Mentor Support</w:t>
            </w: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Weekly mentor meetings are formally timetabled and recorded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Mentor </w:t>
            </w:r>
            <w:r w:rsidR="00480661" w:rsidRPr="00FB1851">
              <w:rPr>
                <w:rFonts w:eastAsia="Times New Roman"/>
                <w:sz w:val="18"/>
                <w:szCs w:val="18"/>
                <w:lang w:eastAsia="en-GB"/>
              </w:rPr>
              <w:t>monitors</w:t>
            </w:r>
            <w:r w:rsidR="00480661">
              <w:rPr>
                <w:rFonts w:eastAsia="Times New Roman"/>
                <w:sz w:val="18"/>
                <w:szCs w:val="18"/>
                <w:lang w:eastAsia="en-GB"/>
              </w:rPr>
              <w:t xml:space="preserve"> targets 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and ensures that </w:t>
            </w:r>
            <w:r w:rsidR="00480661">
              <w:rPr>
                <w:rFonts w:eastAsia="Times New Roman"/>
                <w:sz w:val="18"/>
                <w:szCs w:val="18"/>
                <w:lang w:eastAsia="en-GB"/>
              </w:rPr>
              <w:t>they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'smart'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Mentor ensures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attend appropriate staff meetings, INSET training etc.</w:t>
            </w:r>
          </w:p>
          <w:p w:rsidR="00BF60D5" w:rsidRPr="00FB1851" w:rsidRDefault="00C671BA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feel support from the mentor and are able to communicate issues with the mentor throughout the training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Additional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 xml:space="preserve">Support Plans and  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C4C process procedures are outlined with struggling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as early in the placement as is appropriate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Mentor facilitates trainee participation in parent/carer consultation meetings, extra-curricular activities </w:t>
            </w:r>
          </w:p>
          <w:p w:rsidR="00BF60D5" w:rsidRDefault="00892F97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Mentor facilitates trainee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to plan for and risk assess school visits where appropriate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Mentor is aware of trainee’s strengths and areas for development</w:t>
            </w:r>
          </w:p>
          <w:p w:rsidR="008C3B1C" w:rsidRPr="00FB1851" w:rsidRDefault="00892F97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Records are kept of weekly meetings within the PDP</w:t>
            </w:r>
          </w:p>
          <w:p w:rsidR="00480661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Mentor reviews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planning, teaching and organisation and will amend the training programme as the placement develops.</w:t>
            </w:r>
          </w:p>
        </w:tc>
        <w:tc>
          <w:tcPr>
            <w:tcW w:w="6662" w:type="dxa"/>
            <w:shd w:val="clear" w:color="auto" w:fill="FFFFFF" w:themeFill="background1"/>
          </w:tcPr>
          <w:p w:rsidR="00BF60D5" w:rsidRPr="00FB1851" w:rsidRDefault="00892F97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M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>entor meetings show evidence of reflection and SMART target setting (not tasks)</w:t>
            </w:r>
          </w:p>
          <w:p w:rsidR="00BF60D5" w:rsidRPr="00FB1851" w:rsidRDefault="00C671BA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required to meet with staff with specialised knowledge in order to gain an understanding of the wider school picture and develop skills in line with </w:t>
            </w:r>
            <w:r w:rsidR="0006650D" w:rsidRPr="00FB1851">
              <w:rPr>
                <w:rFonts w:eastAsia="Times New Roman"/>
                <w:sz w:val="18"/>
                <w:szCs w:val="18"/>
                <w:lang w:eastAsia="en-GB"/>
              </w:rPr>
              <w:t>objectives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set against the standards e.g. subject staff, curriculum leaders, pastoral, learning mentors, visiting specialists etc. They should record their learning.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There is evidence of mentor engagement in work with the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from all areas of the school</w:t>
            </w:r>
          </w:p>
          <w:p w:rsidR="00BF60D5" w:rsidRPr="00FB1851" w:rsidRDefault="00892F97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Communication about Additional support plans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between SHU tutor and  mentor and trainee is clear and supportive of improvements guided by SMART </w:t>
            </w:r>
            <w:r w:rsidR="0006650D" w:rsidRPr="00FB1851">
              <w:rPr>
                <w:rFonts w:eastAsia="Times New Roman"/>
                <w:sz w:val="18"/>
                <w:szCs w:val="18"/>
                <w:lang w:eastAsia="en-GB"/>
              </w:rPr>
              <w:t>objectives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set against the standards</w:t>
            </w:r>
          </w:p>
          <w:p w:rsidR="00BF60D5" w:rsidRDefault="00892F97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M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entor offers support and advice regarding meeting parents/carers as part of the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>' professional development</w:t>
            </w:r>
          </w:p>
          <w:p w:rsidR="008C3B1C" w:rsidRPr="00FB1851" w:rsidRDefault="00892F97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="008C3B1C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 is encouraged to focus on professional standards in the weekly meeting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SMART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set and agreed by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 and mentor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Agenda for weekly meeting set jointly by mentor and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</w:p>
        </w:tc>
        <w:tc>
          <w:tcPr>
            <w:tcW w:w="7372" w:type="dxa"/>
            <w:shd w:val="clear" w:color="auto" w:fill="FFFFFF" w:themeFill="background1"/>
          </w:tcPr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SMART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supported by appropriate training and action plan</w:t>
            </w:r>
          </w:p>
          <w:p w:rsidR="00BF60D5" w:rsidRPr="00FB1851" w:rsidRDefault="00CF75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include longer and short term 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impact on pupils' learning is a significant focus of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/ mentor discussion</w:t>
            </w:r>
          </w:p>
          <w:p w:rsidR="00BF60D5" w:rsidRPr="00FB1851" w:rsidRDefault="00C671BA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' discuss their academic learning with mentor 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Evidence of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 involvement in work with NQT where appropriate and possible</w:t>
            </w:r>
          </w:p>
          <w:p w:rsidR="00BF60D5" w:rsidRDefault="008F2157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S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>ubject specific training provided where appropriate</w:t>
            </w:r>
          </w:p>
          <w:p w:rsidR="008C3B1C" w:rsidRPr="00FB1851" w:rsidRDefault="00892F97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="008C3B1C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 fully understands what to do to meet grade related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Guidance given for how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will achieve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lead weekly meetings e.g. agenda, target setting etc. and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is expected to contribute fully and be responsible for paperwork right across the categories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Clear evidence that mentor has detailed knowledge of the progress being made by the </w:t>
            </w:r>
            <w:r w:rsidR="008F215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Some weekly meetings may involve other support/specialist staff to further support the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.</w:t>
            </w:r>
          </w:p>
          <w:p w:rsidR="00BF60D5" w:rsidRPr="00FB1851" w:rsidRDefault="00BF60D5" w:rsidP="009F45F9">
            <w:pPr>
              <w:tabs>
                <w:tab w:val="num" w:pos="307"/>
              </w:tabs>
              <w:spacing w:after="240" w:line="240" w:lineRule="auto"/>
              <w:ind w:left="307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BF60D5" w:rsidRPr="00FB1851" w:rsidTr="00CF75D5">
        <w:trPr>
          <w:cantSplit/>
          <w:trHeight w:val="1134"/>
        </w:trPr>
        <w:tc>
          <w:tcPr>
            <w:tcW w:w="992" w:type="dxa"/>
            <w:shd w:val="clear" w:color="auto" w:fill="DDD9C3" w:themeFill="background2" w:themeFillShade="E6"/>
            <w:textDirection w:val="btLr"/>
          </w:tcPr>
          <w:p w:rsidR="00BF60D5" w:rsidRPr="00FB1851" w:rsidRDefault="00BF60D5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Quality assurance</w:t>
            </w:r>
          </w:p>
        </w:tc>
        <w:tc>
          <w:tcPr>
            <w:tcW w:w="6520" w:type="dxa"/>
            <w:shd w:val="clear" w:color="auto" w:fill="FFFFFF" w:themeFill="background1"/>
          </w:tcPr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All mentors have received appropriate training </w:t>
            </w:r>
          </w:p>
          <w:p w:rsidR="00BF60D5" w:rsidRPr="00FB1851" w:rsidRDefault="008F2157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There is 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 rationale for the training p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lan</w:t>
            </w:r>
            <w:r w:rsidR="00BF60D5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in school that sets clear expectations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Attendance at relevant SHU-based meetings.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Plans for subject specialist staff contribute to support and feedback of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Schools invite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to evaluate their experience on placement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Mentor knows the current Improvement</w:t>
            </w:r>
            <w:r w:rsidR="004D5741"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Plan priorities </w:t>
            </w:r>
          </w:p>
          <w:p w:rsidR="00BF60D5" w:rsidRPr="00FB1851" w:rsidRDefault="00BF60D5" w:rsidP="0006650D">
            <w:pPr>
              <w:spacing w:after="120" w:line="240" w:lineRule="auto"/>
              <w:ind w:left="720"/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F60D5" w:rsidRPr="00FB1851" w:rsidRDefault="00BF60D5" w:rsidP="0006650D">
            <w:pPr>
              <w:pStyle w:val="ListParagraph"/>
              <w:spacing w:after="24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Regular meetings between mentor and other appropriate staff to ensure consistency of feedback and support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There is some evidence of sharing best practice between schools 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mentor is able to say how some Improvement Plan targets may be addressed by the school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Appropriate internal moderation of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progress and attainment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Mentor/ SLT contribute to ways in which SHU can develop practice.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Mentor liaises with alternative placement host teacher  to ensure that appropriate experiences and teaching are scheduled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Mentor contributes to development of Programme through discussion with tutor </w:t>
            </w:r>
          </w:p>
        </w:tc>
        <w:tc>
          <w:tcPr>
            <w:tcW w:w="7372" w:type="dxa"/>
            <w:shd w:val="clear" w:color="auto" w:fill="FFFFFF" w:themeFill="background1"/>
          </w:tcPr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The mentor is able to lead whole school moderation of lesson observations and feedback in order to reach consistently high standards e.g. some cross teacher/department observations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There are opportunities for staff to undertake further training 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Schools are systematic in recording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 feedback, and there is evidence that it has been considered, and, where necessary, action taken to bring about improvement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The impact of </w:t>
            </w:r>
            <w:r w:rsidR="00C671BA"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on pupils learning is tracked 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Mentor observes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in alternative setting.</w:t>
            </w:r>
          </w:p>
          <w:p w:rsidR="00BF60D5" w:rsidRPr="00FB1851" w:rsidRDefault="00BF60D5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Mentor contributes to development of Programme through discussion with tutor &amp; completion of appropriate evaluation requests</w:t>
            </w:r>
          </w:p>
        </w:tc>
      </w:tr>
      <w:tr w:rsidR="008C3B1C" w:rsidRPr="00FB1851" w:rsidTr="00CF75D5">
        <w:trPr>
          <w:cantSplit/>
          <w:trHeight w:val="113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8C3B1C" w:rsidRPr="00514838" w:rsidRDefault="008C3B1C" w:rsidP="00386AF6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514838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Subject knowledge support and assessment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Mentors and class teachers ensure that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’ subject knowledge is sufficient for effective learning to take place by offering appropriate support before teaching.   Support is recorded by the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given guidance in the school’s assessment policies and procedures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Teachers support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in planning for pupil progress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Pupils’ targets are shared with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, who have access to pupil tracking data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Mentor involves staff whom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can meet for guidance and advice e.g. phonics, EAL, SEN, active learning, pedagogical knowledge etc.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Teachers support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, at the planning stage, in understanding common </w:t>
            </w:r>
            <w:proofErr w:type="spellStart"/>
            <w:r w:rsidRPr="00FB1851">
              <w:rPr>
                <w:rFonts w:eastAsia="Times New Roman"/>
                <w:sz w:val="18"/>
                <w:szCs w:val="18"/>
                <w:lang w:eastAsia="en-GB"/>
              </w:rPr>
              <w:t>mis</w:t>
            </w:r>
            <w:proofErr w:type="spellEnd"/>
            <w:r w:rsidRPr="00FB1851">
              <w:rPr>
                <w:rFonts w:eastAsia="Times New Roman"/>
                <w:sz w:val="18"/>
                <w:szCs w:val="18"/>
                <w:lang w:eastAsia="en-GB"/>
              </w:rPr>
              <w:t>-conceptions and problematic areas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Opportunities to observe good practice are made available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Assessment guidance is specific to subjects and pupil groups for which the </w:t>
            </w:r>
            <w:r w:rsidR="00892F97">
              <w:rPr>
                <w:rFonts w:eastAsia="Times New Roman"/>
                <w:sz w:val="18"/>
                <w:szCs w:val="18"/>
                <w:lang w:eastAsia="en-GB"/>
              </w:rPr>
              <w:t>trainee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is responsible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Subject knowledge development is evidenced in all subjects taught e.g. through observations and weekly meeting records. SMART </w:t>
            </w:r>
            <w:r w:rsidR="00CF75D5">
              <w:rPr>
                <w:rFonts w:eastAsia="Times New Roman"/>
                <w:sz w:val="18"/>
                <w:szCs w:val="18"/>
                <w:lang w:eastAsia="en-GB"/>
              </w:rPr>
              <w:t>targets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 xml:space="preserve"> are set where appropriate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Specific training is given to develop subject knowledge as identified during placement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Trainees</w:t>
            </w: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’ existing and developing subject strengths are recognized, shared and nurtured by the school</w:t>
            </w:r>
          </w:p>
          <w:p w:rsidR="008C3B1C" w:rsidRPr="00FB1851" w:rsidRDefault="008C3B1C" w:rsidP="005148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B1851">
              <w:rPr>
                <w:rFonts w:eastAsia="Times New Roman"/>
                <w:sz w:val="18"/>
                <w:szCs w:val="18"/>
                <w:lang w:eastAsia="en-GB"/>
              </w:rPr>
              <w:t>There is evidence of subject knowledge development in improved practice and pupil performance. This can be tracked via observations, weekly mentor meetings and lesson plans</w:t>
            </w:r>
          </w:p>
        </w:tc>
      </w:tr>
    </w:tbl>
    <w:p w:rsidR="00BB60DA" w:rsidRPr="00FB1851" w:rsidRDefault="00BB60D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6"/>
      </w:tblGrid>
      <w:tr w:rsidR="00BF60D5" w:rsidRPr="00FB1851" w:rsidTr="00CF75D5">
        <w:trPr>
          <w:trHeight w:val="2347"/>
        </w:trPr>
        <w:tc>
          <w:tcPr>
            <w:tcW w:w="21546" w:type="dxa"/>
            <w:shd w:val="clear" w:color="auto" w:fill="auto"/>
          </w:tcPr>
          <w:p w:rsidR="00BF60D5" w:rsidRPr="008F2157" w:rsidRDefault="00CF75D5" w:rsidP="00CF75D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Any Additional Notes</w:t>
            </w:r>
          </w:p>
        </w:tc>
      </w:tr>
    </w:tbl>
    <w:tbl>
      <w:tblPr>
        <w:tblStyle w:val="TableGrid"/>
        <w:tblpPr w:leftFromText="180" w:rightFromText="180" w:vertAnchor="text" w:horzAnchor="margin" w:tblpX="392" w:tblpY="635"/>
        <w:tblW w:w="21513" w:type="dxa"/>
        <w:tblLook w:val="04A0" w:firstRow="1" w:lastRow="0" w:firstColumn="1" w:lastColumn="0" w:noHBand="0" w:noVBand="1"/>
      </w:tblPr>
      <w:tblGrid>
        <w:gridCol w:w="9105"/>
        <w:gridCol w:w="12408"/>
      </w:tblGrid>
      <w:tr w:rsidR="00D652FC" w:rsidTr="00D652FC">
        <w:tc>
          <w:tcPr>
            <w:tcW w:w="9105" w:type="dxa"/>
          </w:tcPr>
          <w:p w:rsidR="00D652FC" w:rsidRDefault="00D652FC" w:rsidP="00D652FC">
            <w:r>
              <w:t xml:space="preserve">Date reviewed 1 </w:t>
            </w:r>
            <w:r>
              <w:tab/>
              <w:t>____________________________</w:t>
            </w:r>
          </w:p>
          <w:p w:rsidR="00D652FC" w:rsidRDefault="00D652FC" w:rsidP="00D652FC"/>
          <w:p w:rsidR="00D652FC" w:rsidRDefault="00D652FC" w:rsidP="00D652FC"/>
          <w:p w:rsidR="00D652FC" w:rsidRDefault="00D652FC" w:rsidP="00D652FC">
            <w:r>
              <w:t>Date reviewed 2</w:t>
            </w:r>
            <w:r>
              <w:tab/>
              <w:t>____________________________</w:t>
            </w:r>
          </w:p>
          <w:p w:rsidR="00D652FC" w:rsidRDefault="00D652FC" w:rsidP="00D652FC"/>
          <w:p w:rsidR="00D652FC" w:rsidRDefault="00D652FC" w:rsidP="00D652FC"/>
        </w:tc>
        <w:tc>
          <w:tcPr>
            <w:tcW w:w="12408" w:type="dxa"/>
          </w:tcPr>
          <w:p w:rsidR="00D652FC" w:rsidRDefault="00D652FC" w:rsidP="00D652FC">
            <w:r>
              <w:t>date reviewed 3 __________________________________</w:t>
            </w:r>
          </w:p>
          <w:p w:rsidR="00D652FC" w:rsidRDefault="00D652FC" w:rsidP="00D652FC"/>
          <w:p w:rsidR="00D652FC" w:rsidRDefault="00D652FC" w:rsidP="00D652FC"/>
          <w:p w:rsidR="00D652FC" w:rsidRDefault="00D652FC" w:rsidP="00D652FC">
            <w:r>
              <w:t>Date reviewed 4 __________________________________</w:t>
            </w:r>
          </w:p>
        </w:tc>
      </w:tr>
    </w:tbl>
    <w:p w:rsidR="00237981" w:rsidRPr="00FB1851" w:rsidRDefault="00237981"/>
    <w:p w:rsidR="00CF75D5" w:rsidRPr="00FB1851" w:rsidRDefault="00CF75D5" w:rsidP="00CF75D5"/>
    <w:sectPr w:rsidR="00CF75D5" w:rsidRPr="00FB1851" w:rsidSect="00D652FC">
      <w:headerReference w:type="default" r:id="rId9"/>
      <w:footerReference w:type="default" r:id="rId10"/>
      <w:pgSz w:w="23814" w:h="16839" w:orient="landscape" w:code="8"/>
      <w:pgMar w:top="1418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48" w:rsidRDefault="001E2548" w:rsidP="0075005D">
      <w:pPr>
        <w:spacing w:after="0" w:line="240" w:lineRule="auto"/>
      </w:pPr>
      <w:r>
        <w:separator/>
      </w:r>
    </w:p>
  </w:endnote>
  <w:endnote w:type="continuationSeparator" w:id="0">
    <w:p w:rsidR="001E2548" w:rsidRDefault="001E2548" w:rsidP="0075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7C" w:rsidRDefault="003F4A7C" w:rsidP="003F4A7C">
    <w:pPr>
      <w:pStyle w:val="Footer"/>
    </w:pPr>
    <w:r>
      <w:t>desph201016</w:t>
    </w:r>
  </w:p>
  <w:p w:rsidR="0075005D" w:rsidRDefault="00750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48" w:rsidRDefault="001E2548" w:rsidP="0075005D">
      <w:pPr>
        <w:spacing w:after="0" w:line="240" w:lineRule="auto"/>
      </w:pPr>
      <w:r>
        <w:separator/>
      </w:r>
    </w:p>
  </w:footnote>
  <w:footnote w:type="continuationSeparator" w:id="0">
    <w:p w:rsidR="001E2548" w:rsidRDefault="001E2548" w:rsidP="0075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5D" w:rsidRDefault="00750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6C8"/>
    <w:multiLevelType w:val="hybridMultilevel"/>
    <w:tmpl w:val="F682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7B0"/>
    <w:multiLevelType w:val="hybridMultilevel"/>
    <w:tmpl w:val="EB7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A20DA"/>
    <w:multiLevelType w:val="hybridMultilevel"/>
    <w:tmpl w:val="13EC8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82163"/>
    <w:multiLevelType w:val="hybridMultilevel"/>
    <w:tmpl w:val="E768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25F3"/>
    <w:multiLevelType w:val="hybridMultilevel"/>
    <w:tmpl w:val="ADE4728C"/>
    <w:lvl w:ilvl="0" w:tplc="08090001">
      <w:start w:val="1"/>
      <w:numFmt w:val="bullet"/>
      <w:lvlText w:val=""/>
      <w:lvlJc w:val="left"/>
      <w:pPr>
        <w:ind w:left="3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5" w15:restartNumberingAfterBreak="0">
    <w:nsid w:val="313E474F"/>
    <w:multiLevelType w:val="hybridMultilevel"/>
    <w:tmpl w:val="B61A9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8726D"/>
    <w:multiLevelType w:val="hybridMultilevel"/>
    <w:tmpl w:val="3FC2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706E2"/>
    <w:multiLevelType w:val="hybridMultilevel"/>
    <w:tmpl w:val="96269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B62B3"/>
    <w:multiLevelType w:val="hybridMultilevel"/>
    <w:tmpl w:val="8ACEA1C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47E"/>
    <w:multiLevelType w:val="hybridMultilevel"/>
    <w:tmpl w:val="279AC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581B26"/>
    <w:multiLevelType w:val="hybridMultilevel"/>
    <w:tmpl w:val="5876163A"/>
    <w:lvl w:ilvl="0" w:tplc="835001D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D3279"/>
    <w:multiLevelType w:val="hybridMultilevel"/>
    <w:tmpl w:val="75303168"/>
    <w:lvl w:ilvl="0" w:tplc="835001D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03737"/>
    <w:multiLevelType w:val="hybridMultilevel"/>
    <w:tmpl w:val="123E1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87DF1"/>
    <w:multiLevelType w:val="hybridMultilevel"/>
    <w:tmpl w:val="BB82E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92EBA"/>
    <w:multiLevelType w:val="hybridMultilevel"/>
    <w:tmpl w:val="884E9EDE"/>
    <w:lvl w:ilvl="0" w:tplc="835001D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154"/>
    <w:multiLevelType w:val="hybridMultilevel"/>
    <w:tmpl w:val="4334A834"/>
    <w:lvl w:ilvl="0" w:tplc="835001D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40EC6"/>
    <w:multiLevelType w:val="hybridMultilevel"/>
    <w:tmpl w:val="779E4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10586"/>
    <w:multiLevelType w:val="hybridMultilevel"/>
    <w:tmpl w:val="0D20C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7F"/>
    <w:rsid w:val="0004192B"/>
    <w:rsid w:val="0004211F"/>
    <w:rsid w:val="0006650D"/>
    <w:rsid w:val="00091BFA"/>
    <w:rsid w:val="00126C7F"/>
    <w:rsid w:val="001E2548"/>
    <w:rsid w:val="00200717"/>
    <w:rsid w:val="00204AD2"/>
    <w:rsid w:val="00237981"/>
    <w:rsid w:val="002A4A7F"/>
    <w:rsid w:val="002B6D74"/>
    <w:rsid w:val="00304C73"/>
    <w:rsid w:val="00313C2A"/>
    <w:rsid w:val="00324C05"/>
    <w:rsid w:val="0034238E"/>
    <w:rsid w:val="0036100D"/>
    <w:rsid w:val="00364C06"/>
    <w:rsid w:val="00386AF6"/>
    <w:rsid w:val="003D4426"/>
    <w:rsid w:val="003F4A7C"/>
    <w:rsid w:val="00402919"/>
    <w:rsid w:val="00415E9C"/>
    <w:rsid w:val="00426957"/>
    <w:rsid w:val="00480661"/>
    <w:rsid w:val="00483F34"/>
    <w:rsid w:val="004855B4"/>
    <w:rsid w:val="004D10D3"/>
    <w:rsid w:val="004D5741"/>
    <w:rsid w:val="004D579C"/>
    <w:rsid w:val="004F3EE3"/>
    <w:rsid w:val="00514838"/>
    <w:rsid w:val="005148AC"/>
    <w:rsid w:val="00514C36"/>
    <w:rsid w:val="00537BEE"/>
    <w:rsid w:val="00551B15"/>
    <w:rsid w:val="005554AF"/>
    <w:rsid w:val="005756F0"/>
    <w:rsid w:val="00617CD7"/>
    <w:rsid w:val="00637901"/>
    <w:rsid w:val="006A7C8D"/>
    <w:rsid w:val="006D0DFE"/>
    <w:rsid w:val="006D240F"/>
    <w:rsid w:val="006D45E4"/>
    <w:rsid w:val="006E7A04"/>
    <w:rsid w:val="0075005D"/>
    <w:rsid w:val="00763A8C"/>
    <w:rsid w:val="00775500"/>
    <w:rsid w:val="00781342"/>
    <w:rsid w:val="007A68C2"/>
    <w:rsid w:val="007B6FFE"/>
    <w:rsid w:val="007D5463"/>
    <w:rsid w:val="007F3056"/>
    <w:rsid w:val="00842962"/>
    <w:rsid w:val="00892F97"/>
    <w:rsid w:val="008B5731"/>
    <w:rsid w:val="008C3B1C"/>
    <w:rsid w:val="008F2157"/>
    <w:rsid w:val="00951E7F"/>
    <w:rsid w:val="00987E7F"/>
    <w:rsid w:val="009C69B7"/>
    <w:rsid w:val="009D3227"/>
    <w:rsid w:val="009D5A46"/>
    <w:rsid w:val="009F45F9"/>
    <w:rsid w:val="00A014E1"/>
    <w:rsid w:val="00A26DCB"/>
    <w:rsid w:val="00A3302E"/>
    <w:rsid w:val="00AE216D"/>
    <w:rsid w:val="00B135CF"/>
    <w:rsid w:val="00B43173"/>
    <w:rsid w:val="00B72B6E"/>
    <w:rsid w:val="00B9338D"/>
    <w:rsid w:val="00B94A4C"/>
    <w:rsid w:val="00BB3866"/>
    <w:rsid w:val="00BB60DA"/>
    <w:rsid w:val="00BF4747"/>
    <w:rsid w:val="00BF60D5"/>
    <w:rsid w:val="00C671BA"/>
    <w:rsid w:val="00CC3B2B"/>
    <w:rsid w:val="00CF75D5"/>
    <w:rsid w:val="00D034B4"/>
    <w:rsid w:val="00D23721"/>
    <w:rsid w:val="00D37AA5"/>
    <w:rsid w:val="00D652FC"/>
    <w:rsid w:val="00D962A3"/>
    <w:rsid w:val="00DC583E"/>
    <w:rsid w:val="00E15A77"/>
    <w:rsid w:val="00ED6236"/>
    <w:rsid w:val="00EF1CF0"/>
    <w:rsid w:val="00F0563A"/>
    <w:rsid w:val="00F7423A"/>
    <w:rsid w:val="00FA54B4"/>
    <w:rsid w:val="00FB1851"/>
    <w:rsid w:val="00FD1AA3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E29C4C4-5498-4931-BFEC-F7C5E51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7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426"/>
    <w:pPr>
      <w:ind w:left="720"/>
      <w:contextualSpacing/>
    </w:pPr>
  </w:style>
  <w:style w:type="table" w:styleId="TableGrid">
    <w:name w:val="Table Grid"/>
    <w:basedOn w:val="TableNormal"/>
    <w:uiPriority w:val="59"/>
    <w:rsid w:val="00CF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5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7238-C16D-41CC-9936-5D72B16B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Elliott</dc:creator>
  <cp:lastModifiedBy>jill carr</cp:lastModifiedBy>
  <cp:revision>2</cp:revision>
  <cp:lastPrinted>2015-09-10T08:46:00Z</cp:lastPrinted>
  <dcterms:created xsi:type="dcterms:W3CDTF">2019-03-20T14:55:00Z</dcterms:created>
  <dcterms:modified xsi:type="dcterms:W3CDTF">2019-03-20T14:55:00Z</dcterms:modified>
</cp:coreProperties>
</file>